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09BFD5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outlineLvl w:val="0"/>
        <w:rPr>
          <w:rFonts w:ascii="微软雅黑" w:hAnsi="微软雅黑" w:eastAsia="微软雅黑" w:cs="微软雅黑"/>
          <w:color w:val="1E4E79"/>
          <w:sz w:val="32"/>
          <w:szCs w:val="32"/>
          <w:lang w:eastAsia="zh-CN"/>
        </w:rPr>
      </w:pPr>
      <w:r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  <w:t>选股思路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9323AA1">
        <w:tc>
          <w:tcPr>
            <w:tcW w:w="8522" w:type="dxa"/>
          </w:tcPr>
          <w:p w14:paraId="6377B15C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textAlignment w:val="center"/>
              <w:rPr>
                <w:rFonts w:hint="eastAsia" w:asciiTheme="minorEastAsia" w:hAnsiTheme="minorEastAsia" w:eastAsiaTheme="minorEastAsia" w:cstheme="minorEastAsia"/>
                <w:sz w:val="20"/>
                <w:szCs w:val="20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目标：如何选取一揽子股票（含ETF），可以更好地构建来实现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val="en-US"/>
              </w:rPr>
              <w:t>1-year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最大收益最小方差？</w:t>
            </w:r>
          </w:p>
        </w:tc>
      </w:tr>
      <w:tr w14:paraId="75F4E35B">
        <w:tc>
          <w:tcPr>
            <w:tcW w:w="8522" w:type="dxa"/>
          </w:tcPr>
          <w:p w14:paraId="530F2F2D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textAlignment w:val="center"/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关键点：</w:t>
            </w:r>
          </w:p>
          <w:p w14:paraId="4EB08941">
            <w:pPr>
              <w:pStyle w:val="3"/>
              <w:keepNext w:val="0"/>
              <w:keepLines w:val="0"/>
              <w:pageBreakBefore w:val="0"/>
              <w:widowControl/>
              <w:numPr>
                <w:ilvl w:val="0"/>
                <w:numId w:val="2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leftChars="0" w:right="0" w:firstLine="0" w:firstLineChars="0"/>
              <w:textAlignment w:val="auto"/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挑选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000000"/>
                <w:sz w:val="20"/>
                <w:szCs w:val="20"/>
                <w:lang w:eastAsia="zh-CN"/>
              </w:rPr>
              <w:t>夏普比率高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的资产</w:t>
            </w:r>
          </w:p>
          <w:p w14:paraId="677F0F24">
            <w:pPr>
              <w:pStyle w:val="3"/>
              <w:keepNext w:val="0"/>
              <w:keepLines w:val="0"/>
              <w:pageBreakBefore w:val="0"/>
              <w:widowControl/>
              <w:numPr>
                <w:ilvl w:val="0"/>
                <w:numId w:val="2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leftChars="0" w:right="0" w:firstLine="0" w:firstLineChars="0"/>
              <w:textAlignment w:val="auto"/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资产之间的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000000"/>
                <w:sz w:val="20"/>
                <w:szCs w:val="20"/>
                <w:lang w:eastAsia="zh-CN"/>
              </w:rPr>
              <w:t>相关性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低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val="en-US"/>
              </w:rPr>
              <w:t xml:space="preserve"> - 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至少覆盖 6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noBreakHyphen/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8 个 GICS 一级行业；或用 5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noBreakHyphen/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10 只宽基/行业ETF</w:t>
            </w:r>
          </w:p>
          <w:p w14:paraId="11965E4D">
            <w:pPr>
              <w:pStyle w:val="3"/>
              <w:keepNext w:val="0"/>
              <w:keepLines w:val="0"/>
              <w:pageBreakBefore w:val="0"/>
              <w:widowControl/>
              <w:numPr>
                <w:ilvl w:val="0"/>
                <w:numId w:val="2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leftChars="0" w:right="0" w:firstLine="0" w:firstLineChars="0"/>
              <w:textAlignment w:val="auto"/>
              <w:rPr>
                <w:rFonts w:hint="eastAsia" w:asciiTheme="minorEastAsia" w:hAnsiTheme="minorEastAsia" w:eastAsiaTheme="minorEastAsia" w:cstheme="minorEastAsia"/>
                <w:sz w:val="20"/>
                <w:szCs w:val="20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有合适的option可以用作对冲</w:t>
            </w:r>
          </w:p>
        </w:tc>
      </w:tr>
      <w:tr w14:paraId="545271DB">
        <w:trPr>
          <w:trHeight w:val="90" w:hRule="atLeast"/>
        </w:trPr>
        <w:tc>
          <w:tcPr>
            <w:tcW w:w="8522" w:type="dxa"/>
          </w:tcPr>
          <w:p w14:paraId="5CD5F0D1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textAlignment w:val="center"/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选股思路：</w:t>
            </w:r>
          </w:p>
          <w:p w14:paraId="021D85C9">
            <w:pPr>
              <w:pStyle w:val="3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425" w:leftChars="0" w:right="0" w:hanging="425" w:firstLineChars="0"/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初始选股池：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val="en-US"/>
              </w:rPr>
              <w:t>找各行业的代表性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shd w:val="clear" w:fill="FFFF99"/>
                <w:lang w:val="en-US"/>
              </w:rPr>
              <w:t>ETF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，找夏普比率高的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shd w:val="clear" w:fill="FFFF99"/>
                <w:lang w:eastAsia="zh-CN"/>
              </w:rPr>
              <w:t>股票</w:t>
            </w:r>
          </w:p>
          <w:p w14:paraId="66963181">
            <w:pPr>
              <w:pStyle w:val="3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425" w:leftChars="0" w:right="0" w:hanging="425" w:firstLineChars="0"/>
              <w:rPr>
                <w:rFonts w:hint="eastAsia" w:asciiTheme="minorEastAsia" w:hAnsiTheme="minorEastAsia" w:eastAsiaTheme="minorEastAsia" w:cstheme="minorEastAsia"/>
                <w:sz w:val="20"/>
                <w:szCs w:val="20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val="en-US"/>
              </w:rPr>
              <w:t>根据夏普比率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val="en-US"/>
              </w:rPr>
              <w:t>相关系数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0"/>
                <w:szCs w:val="20"/>
                <w:lang w:eastAsia="zh-CN"/>
              </w:rPr>
              <w:t>再次调整</w:t>
            </w:r>
          </w:p>
        </w:tc>
      </w:tr>
    </w:tbl>
    <w:p w14:paraId="24F92F6C">
      <w:pPr>
        <w:widowControl w:val="0"/>
        <w:numPr>
          <w:ilvl w:val="0"/>
          <w:numId w:val="0"/>
        </w:numPr>
        <w:jc w:val="both"/>
      </w:pPr>
    </w:p>
    <w:p w14:paraId="34401B73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left"/>
        <w:outlineLvl w:val="0"/>
        <w:rPr>
          <w:rFonts w:hint="default" w:ascii="微软雅黑" w:hAnsi="微软雅黑" w:eastAsia="微软雅黑" w:cs="微软雅黑"/>
          <w:color w:val="1E4E79"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color w:val="1E4E79"/>
          <w:sz w:val="32"/>
          <w:szCs w:val="32"/>
          <w:lang w:val="en-US" w:eastAsia="zh-CN"/>
        </w:rPr>
        <w:t>初始选股池</w:t>
      </w:r>
      <w:bookmarkStart w:id="0" w:name="_GoBack"/>
      <w:bookmarkEnd w:id="0"/>
    </w:p>
    <w:p w14:paraId="2F8881AC">
      <w:pPr>
        <w:pStyle w:val="3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股票部分</w:t>
      </w:r>
      <w:r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：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GPT</w:t>
      </w:r>
      <w:r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推荐的高夏普比率股票。。。</w:t>
      </w:r>
    </w:p>
    <w:p w14:paraId="10E837F6"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['PLTR', 'NVDA', 'MSFT', 'NFLX', 'NOW', 'AMD', 'MA', 'V', 'PANW', 'TSLA']</w:t>
      </w:r>
    </w:p>
    <w:p w14:paraId="717EA27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textAlignment w:val="center"/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</w:p>
    <w:p w14:paraId="4A240ACD">
      <w:pPr>
        <w:pStyle w:val="3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ETF部分</w:t>
      </w:r>
      <w:r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：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综合选择了行业板块ETF（如公用事业、消费必需、金融、房地产、科技等）以及宽基市场ETF（纳斯达克100、美洲以外发达市场、新兴市场）和另类资产ETF（黄金、债券）来分散投资。</w:t>
      </w:r>
    </w:p>
    <w:tbl>
      <w:tblPr>
        <w:tblStyle w:val="4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726"/>
        <w:gridCol w:w="2222"/>
        <w:gridCol w:w="2518"/>
      </w:tblGrid>
      <w:tr w14:paraId="4BA4354D">
        <w:tc>
          <w:tcPr>
            <w:tcW w:w="658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8D8E3F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行业板块ETF</w:t>
            </w:r>
          </w:p>
          <w:p w14:paraId="60DA29A7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SPDR基金是一类由美国州街全球投资公司（State Street Global Advisors, SSGA）发行的交易型开放式指数基金（ETF））</w:t>
            </w:r>
          </w:p>
        </w:tc>
        <w:tc>
          <w:tcPr>
            <w:tcW w:w="382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1C2FB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宽基市场ETF</w:t>
            </w:r>
          </w:p>
        </w:tc>
        <w:tc>
          <w:tcPr>
            <w:tcW w:w="41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5E94AF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另类资产ETF</w:t>
            </w:r>
          </w:p>
        </w:tc>
      </w:tr>
      <w:tr w14:paraId="56686397">
        <w:tc>
          <w:tcPr>
            <w:tcW w:w="660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DB41909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XLU – 公用事业板块SPDR基金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：抗跌防御性板块，高股息低波动，过去一年风险调整收益优秀（Sharpe≈1.6）。</w:t>
            </w:r>
          </w:p>
        </w:tc>
        <w:tc>
          <w:tcPr>
            <w:tcW w:w="385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30EA694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QQQ – 纳斯达克100指数基金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：代表美国大型科技和成长股，长期高收益引擎。尽管近期夏普不高（因波动大），但适度配置QQQ可分享科技板块上涨潜力</w:t>
            </w:r>
          </w:p>
        </w:tc>
        <w:tc>
          <w:tcPr>
            <w:tcW w:w="434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2612F2E6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GLD – 黄金ETF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：直接持有实物黄金的基金。黄金作为传统避险资产，在通胀和市场动荡期往往表现出色，与股票和债券相关性极低​。过去一年金价上涨，GLD夏普比率高。</w:t>
            </w:r>
          </w:p>
        </w:tc>
      </w:tr>
      <w:tr w14:paraId="59608A76">
        <w:tc>
          <w:tcPr>
            <w:tcW w:w="660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DFA0601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XLP – 日用消费品板块SPDR基金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：必需消费行业防御性强，在经济波动中表现稳健，夏普比率高于1。与周期性资产相关度低。</w:t>
            </w:r>
          </w:p>
        </w:tc>
        <w:tc>
          <w:tcPr>
            <w:tcW w:w="382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2863D95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SPY – 标普500指数SPDR基金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</w:t>
            </w:r>
          </w:p>
          <w:p w14:paraId="557F522C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全球规模最大、流动性最强的ETF之一，追踪标普500指数，覆盖美国市值最大的500家公司，代表美国整体经济表现。</w:t>
            </w:r>
          </w:p>
        </w:tc>
        <w:tc>
          <w:tcPr>
            <w:tcW w:w="434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840DD12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HYG – iBoxx高收益公司债ETF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：投资垃圾级企业债券，收益率较高。其波动率远低于股票，但收益接近股市，因而夏普比率出色。</w:t>
            </w:r>
          </w:p>
        </w:tc>
      </w:tr>
      <w:tr w14:paraId="7B3B8223">
        <w:tc>
          <w:tcPr>
            <w:tcW w:w="660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F7542EA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XLF – 金融板块SPDR基金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：涵盖银行、保险等金融股。去年收益反弹且波动中等，夏普比率≈1。</w:t>
            </w:r>
          </w:p>
        </w:tc>
        <w:tc>
          <w:tcPr>
            <w:tcW w:w="385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557BD5D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EFA – 发达市场股票ETF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：覆盖欧洲、日本等北美以外发达国家市场。与美股有一定相关但不完全同步。有助于分散美国市场独有风险，捕捉海外复苏机遇。</w:t>
            </w:r>
          </w:p>
        </w:tc>
        <w:tc>
          <w:tcPr>
            <w:tcW w:w="434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ED89A4B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IEF – 7-10年期国债ETF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：国债具有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避险特性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，历史上股市下跌时往往上涨，能冲抵组合风险。虽近一年因加息影响收益不高（Sharpe约0.1），但在未来一年如果经济波动或政策转向宽松，IEF有望提供稳健回报，同时降低组合整体波动。</w:t>
            </w:r>
          </w:p>
        </w:tc>
      </w:tr>
      <w:tr w14:paraId="060C67E4">
        <w:tc>
          <w:tcPr>
            <w:tcW w:w="658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7893B5B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XLRE – 房地产板块SPDR基金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：虽最近表现一般，但与其他股票板块相关性相对独立，对组合有补充多元作用。</w:t>
            </w:r>
          </w:p>
        </w:tc>
        <w:tc>
          <w:tcPr>
            <w:tcW w:w="385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26DFFA2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EEM – 新兴市场股票ETF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：涵盖中国、台湾、印度、巴西等新兴经济体股票。波动较高但与发达市场相关性适中。新兴市场估值相对低且具成长性，长期看可提供额外 Alpha 来源。</w:t>
            </w:r>
          </w:p>
        </w:tc>
        <w:tc>
          <w:tcPr>
            <w:tcW w:w="421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24F1D708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20+ 年期国债ETF (TLT)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  <w:lang w:eastAsia="zh-CN"/>
              </w:rPr>
              <w:t xml:space="preserve"> :同上，看和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  <w:lang w:val="en-US"/>
              </w:rPr>
              <w:t>IEF谁表现更好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  <w:lang w:eastAsia="zh-CN"/>
              </w:rPr>
              <w:t>。</w:t>
            </w:r>
          </w:p>
        </w:tc>
      </w:tr>
      <w:tr w14:paraId="41DA3093">
        <w:tc>
          <w:tcPr>
            <w:tcW w:w="660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360AB16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</w:rPr>
              <w:t>XLE – 能源板块SPDR基金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：能源板块与科技等板块相关性相对较低。XLE 可在通胀上升或商品涨价时贡献超额收益，起到对冲宏观通胀风险的作用。</w:t>
            </w:r>
          </w:p>
        </w:tc>
        <w:tc>
          <w:tcPr>
            <w:tcW w:w="382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77C6AB5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  <w:tc>
          <w:tcPr>
            <w:tcW w:w="412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C790593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</w:tr>
      <w:tr w14:paraId="0C6FF154">
        <w:tc>
          <w:tcPr>
            <w:tcW w:w="658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55E1790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XL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val="en-US"/>
              </w:rPr>
              <w:t>V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 xml:space="preserve"> –  医疗保健板块SPDR基金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  <w:lang w:eastAsia="zh-CN"/>
              </w:rPr>
              <w:t>：医疗板块具有较稳健的收益和防御性，在经济下行或市场震荡时相对抗跌。可平衡组合风险。</w:t>
            </w:r>
          </w:p>
        </w:tc>
        <w:tc>
          <w:tcPr>
            <w:tcW w:w="382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A4873D7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  <w:tc>
          <w:tcPr>
            <w:tcW w:w="41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709749C3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</w:tr>
      <w:tr w14:paraId="1EAA22B9">
        <w:tc>
          <w:tcPr>
            <w:tcW w:w="658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9BC3F02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XL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val="en-US"/>
              </w:rPr>
              <w:t>I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 xml:space="preserve"> –  工业板块SPDR基金</w:t>
            </w: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  <w:lang w:eastAsia="zh-CN"/>
              </w:rPr>
              <w:t>：工业板块受经济周期影响较大，加入XLI使组合在经济向好时分享到顺周期行业的收益。此外，工业股与部分防御性资产呈现负相关，有助进一步分散风险。</w:t>
            </w:r>
          </w:p>
        </w:tc>
        <w:tc>
          <w:tcPr>
            <w:tcW w:w="382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DC6BB8A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  <w:tc>
          <w:tcPr>
            <w:tcW w:w="415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036EF22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textAlignment w:val="auto"/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</w:pPr>
            <w:r>
              <w:rPr>
                <w:rFonts w:hint="eastAsia" w:asciiTheme="minorEastAsia" w:hAnsiTheme="minorEastAsia" w:eastAsiaTheme="minorEastAsia" w:cstheme="minorEastAsia"/>
                <w:sz w:val="13"/>
                <w:szCs w:val="13"/>
              </w:rPr>
              <w:t> </w:t>
            </w:r>
          </w:p>
        </w:tc>
      </w:tr>
    </w:tbl>
    <w:p w14:paraId="12FE19A3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left"/>
        <w:outlineLvl w:val="0"/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  <w:t>数据获取</w:t>
      </w:r>
    </w:p>
    <w:tbl>
      <w:tblPr>
        <w:tblStyle w:val="4"/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849"/>
        <w:gridCol w:w="2996"/>
        <w:gridCol w:w="2621"/>
      </w:tblGrid>
      <w:tr w14:paraId="7795F45E">
        <w:tc>
          <w:tcPr>
            <w:tcW w:w="299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7CBB1324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数据变量</w:t>
            </w:r>
          </w:p>
        </w:tc>
        <w:tc>
          <w:tcPr>
            <w:tcW w:w="31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AD29C31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用途</w:t>
            </w:r>
          </w:p>
        </w:tc>
        <w:tc>
          <w:tcPr>
            <w:tcW w:w="254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D7D7D7" w:themeFill="background1" w:themeFillShade="D8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1FA6A53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来源</w:t>
            </w:r>
          </w:p>
        </w:tc>
      </w:tr>
      <w:tr w14:paraId="6E40698C">
        <w:tc>
          <w:tcPr>
            <w:tcW w:w="299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CD66EA3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每日收盘价（过去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1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年）</w:t>
            </w:r>
          </w:p>
        </w:tc>
        <w:tc>
          <w:tcPr>
            <w:tcW w:w="317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C9FE7CF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计算对数收益、方差、协方差</w:t>
            </w:r>
          </w:p>
        </w:tc>
        <w:tc>
          <w:tcPr>
            <w:tcW w:w="251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A8FD58D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 xml:space="preserve">yfinance 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val="en-US" w:eastAsia="zh-CN"/>
              </w:rPr>
              <w:t xml:space="preserve"> API</w:t>
            </w:r>
          </w:p>
        </w:tc>
      </w:tr>
      <w:tr w14:paraId="4BEAB3CF">
        <w:tc>
          <w:tcPr>
            <w:tcW w:w="302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34853D6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无风险利率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val="en-US" w:eastAsia="zh-CN"/>
              </w:rPr>
              <w:t xml:space="preserve"> - 3个月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T-Bill利率</w:t>
            </w:r>
          </w:p>
        </w:tc>
        <w:tc>
          <w:tcPr>
            <w:tcW w:w="31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F06F99E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算Sharpe比率</w:t>
            </w:r>
          </w:p>
        </w:tc>
        <w:tc>
          <w:tcPr>
            <w:tcW w:w="273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2E48AF7B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FRED美联储提供</w:t>
            </w:r>
          </w:p>
          <w:p w14:paraId="1846554F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val="en-US" w:eastAsia="zh-CN"/>
              </w:rPr>
              <w:t>可用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 xml:space="preserve">pandas_datareader 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val="en-US" w:eastAsia="zh-CN"/>
              </w:rPr>
              <w:t>API</w:t>
            </w:r>
          </w:p>
        </w:tc>
      </w:tr>
      <w:tr w14:paraId="33ABD04F">
        <w:tc>
          <w:tcPr>
            <w:tcW w:w="299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9BA594E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ETF基本信息</w:t>
            </w:r>
          </w:p>
        </w:tc>
        <w:tc>
          <w:tcPr>
            <w:tcW w:w="317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34F232D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>辅助选股，行业分布、规模等</w:t>
            </w:r>
          </w:p>
        </w:tc>
        <w:tc>
          <w:tcPr>
            <w:tcW w:w="251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4FAB47A">
            <w:pPr>
              <w:pStyle w:val="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tLeast"/>
              <w:ind w:left="0" w:right="0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</w:pP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eastAsia="zh-CN"/>
              </w:rPr>
              <w:t xml:space="preserve">yfinance </w:t>
            </w:r>
            <w:r>
              <w:rPr>
                <w:rFonts w:hint="default" w:asciiTheme="minorEastAsia" w:hAnsiTheme="minorEastAsia" w:eastAsiaTheme="minorEastAsia" w:cstheme="minorEastAsia"/>
                <w:b/>
                <w:bCs/>
                <w:sz w:val="13"/>
                <w:szCs w:val="13"/>
                <w:lang w:val="en-US" w:eastAsia="zh-CN"/>
              </w:rPr>
              <w:t xml:space="preserve"> API</w:t>
            </w:r>
          </w:p>
        </w:tc>
      </w:tr>
    </w:tbl>
    <w:p w14:paraId="32B1DC1F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left"/>
        <w:outlineLvl w:val="0"/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  <w:t>数据处理</w:t>
      </w:r>
    </w:p>
    <w:p w14:paraId="38E745FC"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缺失值：drop</w:t>
      </w:r>
    </w:p>
    <w:p w14:paraId="2679DC8A"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极端值（收益率过高）：不处理 / Winsorization缩尾处理</w:t>
      </w:r>
    </w:p>
    <w:p w14:paraId="19C96E35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left"/>
        <w:outlineLvl w:val="0"/>
        <w:rPr>
          <w:rFonts w:hint="eastAsia" w:ascii="微软雅黑" w:hAnsi="微软雅黑" w:eastAsia="微软雅黑" w:cs="微软雅黑"/>
          <w:color w:val="1E4E79"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color w:val="1E4E79"/>
          <w:sz w:val="32"/>
          <w:szCs w:val="32"/>
          <w:lang w:val="en-US" w:eastAsia="zh-CN"/>
        </w:rPr>
        <w:t>选股结果</w:t>
      </w:r>
    </w:p>
    <w:p w14:paraId="286B92BC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tLeast"/>
        <w:ind w:left="0" w:leftChars="0" w:firstLine="0" w:firstLineChars="0"/>
        <w:textAlignment w:val="center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  <w:t>计算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eastAsia="zh-CN"/>
        </w:rPr>
        <w:t>夏普比率</w:t>
      </w:r>
    </w:p>
    <w:tbl>
      <w:tblPr>
        <w:tblW w:w="3231" w:type="dxa"/>
        <w:tblInd w:w="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6"/>
        <w:gridCol w:w="814"/>
        <w:gridCol w:w="777"/>
        <w:gridCol w:w="814"/>
      </w:tblGrid>
      <w:tr w14:paraId="63B4C1E1">
        <w:trPr>
          <w:trHeight w:val="324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noWrap/>
            <w:vAlign w:val="center"/>
          </w:tcPr>
          <w:p w14:paraId="6CF7DF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Ticker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noWrap/>
            <w:vAlign w:val="center"/>
          </w:tcPr>
          <w:p w14:paraId="69E2B0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Sharpe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noWrap/>
            <w:vAlign w:val="center"/>
          </w:tcPr>
          <w:p w14:paraId="6B011C5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Ticker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noWrap/>
            <w:vAlign w:val="center"/>
          </w:tcPr>
          <w:p w14:paraId="36D306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Sharpe</w:t>
            </w:r>
          </w:p>
        </w:tc>
      </w:tr>
      <w:tr w14:paraId="72FC5DBD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CC606D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PLTR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88BA3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2.21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0B87FA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EEM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6CADC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0.30</w:t>
            </w:r>
          </w:p>
        </w:tc>
      </w:tr>
      <w:tr w14:paraId="6CA791EB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0E322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GLD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135FE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1.88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6F0D6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XLI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A6D3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0.17</w:t>
            </w:r>
          </w:p>
        </w:tc>
      </w:tr>
      <w:tr w14:paraId="3C100CC9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417A33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NFLX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366EC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1.33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4D69C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NOW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69599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0.15</w:t>
            </w:r>
          </w:p>
        </w:tc>
      </w:tr>
      <w:tr w14:paraId="6B46E9D5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F9874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XLU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0AF36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1.18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4E04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QQQ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35D0B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0.15</w:t>
            </w:r>
          </w:p>
        </w:tc>
      </w:tr>
      <w:tr w14:paraId="12FA9A9D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9B323A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48F274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1.15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D58083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EFA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D1A91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0.14</w:t>
            </w:r>
          </w:p>
        </w:tc>
      </w:tr>
      <w:tr w14:paraId="430BCB62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228FC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XLF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A5B33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0.97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F5B8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IEF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5333C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0.10</w:t>
            </w:r>
          </w:p>
        </w:tc>
      </w:tr>
      <w:tr w14:paraId="12066CA2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F4A24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TSLA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06426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0.84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53CC8E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LQD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4EAE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0.07</w:t>
            </w:r>
          </w:p>
        </w:tc>
      </w:tr>
      <w:tr w14:paraId="4DA31445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C548CD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MA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A9461D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0.63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E6C06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XLE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4803F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-0.09</w:t>
            </w:r>
          </w:p>
        </w:tc>
      </w:tr>
      <w:tr w14:paraId="6AE854E7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04106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PANW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BE07B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0.63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E1D1E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TLT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28B2CF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-0.13</w:t>
            </w:r>
          </w:p>
        </w:tc>
      </w:tr>
      <w:tr w14:paraId="2709964B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EA746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NVDA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74C656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0.52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B00B3C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XLV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C49091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-0.25</w:t>
            </w:r>
          </w:p>
        </w:tc>
      </w:tr>
      <w:tr w14:paraId="363782C1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C3955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XLP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06736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0.52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2026E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MSFT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56EC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-0.66</w:t>
            </w:r>
          </w:p>
        </w:tc>
      </w:tr>
      <w:tr w14:paraId="0B71A303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DEB837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XLRE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2168C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0.45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35E292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AMD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DA1BF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-1.16</w:t>
            </w:r>
          </w:p>
        </w:tc>
      </w:tr>
      <w:tr w14:paraId="7526C6A3">
        <w:trPr>
          <w:trHeight w:val="336" w:hRule="atLeast"/>
        </w:trPr>
        <w:tc>
          <w:tcPr>
            <w:tcW w:w="8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285E58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SPY</w:t>
            </w: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81FE6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0.31</w:t>
            </w:r>
          </w:p>
        </w:tc>
        <w:tc>
          <w:tcPr>
            <w:tcW w:w="7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A564C7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  <w:tc>
          <w:tcPr>
            <w:tcW w:w="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3F38DC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3DC06E7A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0" w:after="0" w:afterAutospacing="0"/>
        <w:jc w:val="both"/>
        <w:textAlignment w:val="center"/>
        <w:rPr>
          <w:rFonts w:hint="eastAsia" w:asciiTheme="minorEastAsia" w:hAnsiTheme="minorEastAsia" w:eastAsiaTheme="minorEastAsia" w:cstheme="minorEastAsia"/>
        </w:rPr>
      </w:pPr>
    </w:p>
    <w:p w14:paraId="2549D582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0" w:firstLineChars="0"/>
        <w:textAlignment w:val="center"/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相关性热图</w:t>
      </w:r>
    </w:p>
    <w:p w14:paraId="03C86C18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jc w:val="both"/>
        <w:textAlignment w:val="center"/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drawing>
          <wp:inline distT="0" distB="0" distL="114300" distR="114300">
            <wp:extent cx="2742565" cy="2188845"/>
            <wp:effectExtent l="0" t="0" r="635" b="20955"/>
            <wp:docPr id="1" name="图片 1" descr="/Users/carina_ye/Library/Containers/com.kingsoft.wpsoffice.mac/Data/tmp/picturecompress_2025042018461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carina_ye/Library/Containers/com.kingsoft.wpsoffice.mac/Data/tmp/picturecompress_20250420184614/output_1.pngoutput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FBDD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firstLine="0" w:firstLineChars="0"/>
        <w:textAlignment w:val="center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最终选股结果</w:t>
      </w:r>
    </w:p>
    <w:p w14:paraId="237AEF27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根据夏普比率和相关性系数，剔除</w:t>
      </w:r>
      <w:r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了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EEM, SPY, XLI, MA，XLV, 'XLRE', 'EEM', 'XLP', 'XLU', 'LQD', 'TLT', 'IEF','MSFT', 'AMD'</w:t>
      </w:r>
      <w:r>
        <w:rPr>
          <w:rFonts w:hint="eastAsia" w:asciiTheme="minorEastAsia" w:hAnsiTheme="minorEastAsia" w:cstheme="minorEastAsia"/>
          <w:color w:val="000000"/>
          <w:kern w:val="2"/>
          <w:sz w:val="20"/>
          <w:szCs w:val="20"/>
          <w:lang w:val="en-US" w:eastAsia="zh-CN" w:bidi="ar-SA"/>
        </w:rPr>
        <w:t>。</w:t>
      </w:r>
    </w:p>
    <w:p w14:paraId="72F368F5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 xml:space="preserve">最终结果为 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['XLF', 'XLE', 'QQQ', 'EFA', 'GLD', 'PLTR', 'NVDA', 'NFLX', 'NOW', 'V', 'PANW', 'TSLA']</w:t>
      </w:r>
      <w:r>
        <w:rPr>
          <w:rFonts w:hint="eastAsia" w:asciiTheme="minorEastAsia" w:hAnsiTheme="minorEastAsia" w:cstheme="minorEastAsia"/>
          <w:color w:val="000000"/>
          <w:kern w:val="2"/>
          <w:sz w:val="20"/>
          <w:szCs w:val="20"/>
          <w:lang w:val="en-US" w:eastAsia="zh-CN" w:bidi="ar-SA"/>
        </w:rPr>
        <w:t xml:space="preserve"> 共12只。</w:t>
      </w:r>
    </w:p>
    <w:p w14:paraId="7546F6A8"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default" w:ascii="Calibri" w:hAnsi="Calibri" w:cs="Calibri"/>
          <w:b w:val="0"/>
          <w:bCs w:val="0"/>
          <w:sz w:val="22"/>
          <w:szCs w:val="22"/>
          <w:lang w:eastAsia="zh-CN"/>
        </w:rPr>
      </w:pPr>
    </w:p>
    <w:p w14:paraId="514D2685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jc w:val="left"/>
        <w:outlineLvl w:val="0"/>
        <w:rPr>
          <w:rFonts w:hint="default" w:ascii="微软雅黑" w:hAnsi="微软雅黑" w:eastAsia="微软雅黑" w:cs="微软雅黑"/>
          <w:color w:val="1E4E79"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color w:val="1E4E79"/>
          <w:sz w:val="32"/>
          <w:szCs w:val="32"/>
          <w:lang w:val="en-US" w:eastAsia="zh-CN"/>
        </w:rPr>
        <w:t>构建投资组合</w:t>
      </w:r>
    </w:p>
    <w:p w14:paraId="37271F80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目标函数：最大化组合的夏普比率（年化收益率/年化波动率）</w:t>
      </w:r>
    </w:p>
    <w:p w14:paraId="212FB7D2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约束条件：权重加和为1，每只股票权重限制±100%</w:t>
      </w:r>
    </w:p>
    <w:p w14:paraId="3ACD52D7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优化器：SLSQP</w:t>
      </w:r>
    </w:p>
    <w:p w14:paraId="36609CAC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eastAsia" w:asciiTheme="minorEastAsia" w:hAnsiTheme="minorEastAsia" w:cstheme="minorEastAsia"/>
          <w:color w:val="000000"/>
          <w:kern w:val="2"/>
          <w:sz w:val="20"/>
          <w:szCs w:val="20"/>
          <w:lang w:val="en-US" w:eastAsia="zh-CN" w:bidi="ar-SA"/>
        </w:rPr>
        <w:t>权重：</w:t>
      </w:r>
    </w:p>
    <w:tbl>
      <w:tblPr>
        <w:tblW w:w="2161" w:type="dxa"/>
        <w:tblInd w:w="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1"/>
      </w:tblGrid>
      <w:tr w14:paraId="4206BB05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84EA4A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EFA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A389091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-0.2721</w:t>
            </w:r>
          </w:p>
        </w:tc>
      </w:tr>
      <w:tr w14:paraId="185D9460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F613D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GLD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4F9C6FC5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</w:tr>
      <w:tr w14:paraId="6174F17E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9D3B2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NFLX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817230A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0.2209</w:t>
            </w:r>
          </w:p>
        </w:tc>
      </w:tr>
      <w:tr w14:paraId="4B12AB16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DC84C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NOW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5B8F782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-0.0856</w:t>
            </w:r>
          </w:p>
        </w:tc>
      </w:tr>
      <w:tr w14:paraId="2F897785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7681AF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NVDA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0395BF7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0.1279</w:t>
            </w:r>
          </w:p>
        </w:tc>
      </w:tr>
      <w:tr w14:paraId="4B05E6E2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E0E684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PANW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01EBBB5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0.0957</w:t>
            </w:r>
          </w:p>
        </w:tc>
      </w:tr>
      <w:tr w14:paraId="110122D2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D7A03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PLTR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56E4116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0.1917</w:t>
            </w:r>
          </w:p>
        </w:tc>
      </w:tr>
      <w:tr w14:paraId="0892811A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9D092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QQQ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4D7365B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-1</w:t>
            </w:r>
          </w:p>
        </w:tc>
      </w:tr>
      <w:tr w14:paraId="46BB203C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F3ECFD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TSLA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BBE7780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0.0651</w:t>
            </w:r>
          </w:p>
        </w:tc>
      </w:tr>
      <w:tr w14:paraId="450DC617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8AAE1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EF35C47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0.3447</w:t>
            </w:r>
          </w:p>
        </w:tc>
      </w:tr>
      <w:tr w14:paraId="261794FA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01FDA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XLE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5C237A74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-0.2493</w:t>
            </w:r>
          </w:p>
        </w:tc>
      </w:tr>
      <w:tr w14:paraId="14076B13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687D2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XLF</w:t>
            </w:r>
          </w:p>
        </w:tc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713F7B1D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0.561</w:t>
            </w:r>
          </w:p>
        </w:tc>
      </w:tr>
    </w:tbl>
    <w:p w14:paraId="378FDBA8">
      <w:pPr>
        <w:pStyle w:val="3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</w:p>
    <w:p w14:paraId="62F142F4">
      <w:pPr>
        <w:pStyle w:val="3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420" w:leftChars="0" w:right="0" w:hanging="420" w:firstLineChars="0"/>
        <w:jc w:val="left"/>
        <w:rPr>
          <w:rFonts w:hint="eastAsia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0"/>
          <w:szCs w:val="20"/>
          <w:lang w:val="en-US" w:eastAsia="zh-CN" w:bidi="ar-SA"/>
        </w:rPr>
        <w:t>结果：</w:t>
      </w:r>
    </w:p>
    <w:tbl>
      <w:tblPr>
        <w:tblW w:w="2161" w:type="dxa"/>
        <w:tblInd w:w="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4"/>
        <w:gridCol w:w="1080"/>
      </w:tblGrid>
      <w:tr w14:paraId="790A36EE">
        <w:trPr>
          <w:trHeight w:val="336" w:hRule="atLeast"/>
        </w:trPr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9023FC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Annualized total return (including rf)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27B42BCC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148.76%</w:t>
            </w:r>
          </w:p>
        </w:tc>
      </w:tr>
      <w:tr w14:paraId="076C3516">
        <w:trPr>
          <w:trHeight w:val="336" w:hRule="atLeast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0E5E8F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Annualized excess return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35B110F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88.90%</w:t>
            </w:r>
          </w:p>
        </w:tc>
      </w:tr>
      <w:tr w14:paraId="29FDE2E9">
        <w:trPr>
          <w:trHeight w:val="336" w:hRule="atLeast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10899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Annualized volatility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6038CBBE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22.52%</w:t>
            </w:r>
          </w:p>
        </w:tc>
      </w:tr>
      <w:tr w14:paraId="0F143260">
        <w:trPr>
          <w:trHeight w:val="336" w:hRule="atLeast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12C49EF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Empirical Sharpe ratio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noWrap/>
            <w:vAlign w:val="center"/>
          </w:tcPr>
          <w:p w14:paraId="3B2E9770"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3.948</w:t>
            </w:r>
          </w:p>
        </w:tc>
      </w:tr>
    </w:tbl>
    <w:p w14:paraId="52A6F1F1"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default" w:ascii="Calibri" w:hAnsi="Calibri" w:cs="Calibri"/>
          <w:b w:val="0"/>
          <w:bCs w:val="0"/>
          <w:sz w:val="22"/>
          <w:szCs w:val="22"/>
          <w:lang w:eastAsia="zh-CN"/>
        </w:rPr>
      </w:pPr>
    </w:p>
    <w:p w14:paraId="6CDECB37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DF42CC"/>
    <w:multiLevelType w:val="singleLevel"/>
    <w:tmpl w:val="98DF42CC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 w:asciiTheme="minorEastAsia" w:hAnsiTheme="minorEastAsia" w:eastAsiaTheme="minorEastAsia" w:cstheme="minorEastAsia"/>
      </w:rPr>
    </w:lvl>
  </w:abstractNum>
  <w:abstractNum w:abstractNumId="1">
    <w:nsid w:val="DE7E05B7"/>
    <w:multiLevelType w:val="singleLevel"/>
    <w:tmpl w:val="DE7E05B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F2296EB0"/>
    <w:multiLevelType w:val="singleLevel"/>
    <w:tmpl w:val="F2296E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397E3168"/>
    <w:multiLevelType w:val="singleLevel"/>
    <w:tmpl w:val="397E3168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4">
    <w:nsid w:val="3D7EE09D"/>
    <w:multiLevelType w:val="singleLevel"/>
    <w:tmpl w:val="3D7EE0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3F3E2CC1"/>
    <w:multiLevelType w:val="singleLevel"/>
    <w:tmpl w:val="3F3E2C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EB4C47"/>
    <w:rsid w:val="BBF76D63"/>
    <w:rsid w:val="FFEAB419"/>
    <w:rsid w:val="FFEB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18</TotalTime>
  <ScaleCrop>false</ScaleCrop>
  <LinksUpToDate>false</LinksUpToDate>
  <CharactersWithSpaces>0</CharactersWithSpaces>
  <Application>WPS Office_7.2.2.8955_F1E327BC-269C-435d-A152-05C5408002CA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2025-04-20T12:50:00Z</dcterms:created>
  <dc:creator>carina_ye</dc:creator>
  <cp:lastModifiedBy>成吉思涵</cp:lastModifiedBy>
  <dcterms:modified xsi:type="dcterms:W3CDTF">2025-04-20T18:55:37Z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2052-7.2.2.8955</vt:lpwstr>
  </property>
  <property fmtid="{D5CDD505-2E9C-101B-9397-08002B2CF9AE}" pid="3" name="ICV">
    <vt:lpwstr>3AA0AC7D1ED23E8E206C056855A39854_41</vt:lpwstr>
  </property>
</Properties>
</file>